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63103" w:rsidRDefault="00536920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1.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363103">
        <w:rPr>
          <w:sz w:val="28"/>
          <w:szCs w:val="28"/>
        </w:rPr>
        <w:t>Planung von Unterrichtseinheiten</w:t>
      </w:r>
    </w:p>
    <w:p w:rsidR="00363103" w:rsidRDefault="00363103">
      <w:pPr>
        <w:rPr>
          <w:sz w:val="2"/>
          <w:szCs w:val="2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00"/>
      </w:tblGrid>
      <w:tr w:rsidR="0036310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363103" w:rsidRDefault="0036310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103" w:rsidRDefault="00363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Inhaltsbezogene Kompetenz:</w:t>
            </w:r>
          </w:p>
          <w:p w:rsidR="00363103" w:rsidRDefault="00363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Variable, Termen und Gleichungen</w:t>
            </w:r>
          </w:p>
          <w:p w:rsidR="00363103" w:rsidRDefault="00363103">
            <w:pPr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363103" w:rsidRDefault="00175B9C" w:rsidP="00175B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Terme und Gleichungen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36310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Arbeitslehre/Wirtschaftslehre</w:t>
            </w:r>
          </w:p>
          <w:p w:rsidR="00175B9C" w:rsidRDefault="00175B9C">
            <w:pPr>
              <w:snapToGrid w:val="0"/>
            </w:pPr>
            <w:r>
              <w:rPr>
                <w:sz w:val="24"/>
                <w:szCs w:val="24"/>
              </w:rPr>
              <w:t>Naturwissenschaften</w:t>
            </w:r>
          </w:p>
          <w:p w:rsidR="00363103" w:rsidRDefault="00363103"/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103" w:rsidRDefault="00363103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F12E64">
            <w:pPr>
              <w:snapToGrid w:val="0"/>
              <w:jc w:val="center"/>
            </w:pPr>
            <w:r>
              <w:t>Ca.</w:t>
            </w:r>
            <w:r w:rsidR="00B626A6">
              <w:t>6</w:t>
            </w:r>
            <w:r>
              <w:t xml:space="preserve"> Wochen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</w:tbl>
    <w:p w:rsidR="00363103" w:rsidRDefault="00363103">
      <w:pPr>
        <w:spacing w:line="220" w:lineRule="exact"/>
        <w:jc w:val="center"/>
        <w:rPr>
          <w:sz w:val="24"/>
          <w:szCs w:val="24"/>
        </w:rPr>
      </w:pPr>
    </w:p>
    <w:p w:rsidR="00363103" w:rsidRDefault="00363103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363103" w:rsidRDefault="00363103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22"/>
      </w:tblGrid>
      <w:tr w:rsidR="00363103">
        <w:trPr>
          <w:trHeight w:val="1660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Pr="009451DC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 w:rsidRPr="009451DC">
              <w:rPr>
                <w:spacing w:val="-3"/>
              </w:rPr>
              <w:t>Terme mit Variablen, Berechnung des Wertes der Terme</w:t>
            </w:r>
          </w:p>
          <w:p w:rsidR="00363103" w:rsidRPr="009451DC" w:rsidRDefault="00363103">
            <w:r w:rsidRPr="009451DC">
              <w:t>Terme mit der Tabellenkalkulation berechnen</w:t>
            </w:r>
          </w:p>
          <w:p w:rsidR="00363103" w:rsidRPr="009451DC" w:rsidRDefault="00363103">
            <w:r w:rsidRPr="009451DC">
              <w:t>Umformen und Vereinfachen von Termen</w:t>
            </w:r>
          </w:p>
          <w:p w:rsidR="00363103" w:rsidRPr="009451DC" w:rsidRDefault="00363103">
            <w:r w:rsidRPr="009451DC">
              <w:t>Terme und Gleichungen</w:t>
            </w:r>
          </w:p>
          <w:p w:rsidR="00363103" w:rsidRPr="009451DC" w:rsidRDefault="00363103">
            <w:r w:rsidRPr="009451DC">
              <w:t>Gleichungen durch Probieren lösen</w:t>
            </w:r>
          </w:p>
          <w:p w:rsidR="00363103" w:rsidRPr="009451DC" w:rsidRDefault="00363103">
            <w:r w:rsidRPr="009451DC">
              <w:t>Gleichungen durch Umformen lösen</w:t>
            </w:r>
          </w:p>
          <w:p w:rsidR="00363103" w:rsidRDefault="00363103">
            <w:r w:rsidRPr="009451DC">
              <w:t>Sac</w:t>
            </w:r>
            <w:r w:rsidR="00175B9C">
              <w:t>haufgaben mit Gleichungen lösen</w:t>
            </w:r>
          </w:p>
        </w:tc>
        <w:tc>
          <w:tcPr>
            <w:tcW w:w="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363103" w:rsidRDefault="00363103">
      <w:pPr>
        <w:spacing w:line="220" w:lineRule="exact"/>
        <w:rPr>
          <w:sz w:val="20"/>
          <w:szCs w:val="20"/>
        </w:rPr>
      </w:pPr>
    </w:p>
    <w:p w:rsidR="00363103" w:rsidRDefault="00363103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363103" w:rsidRDefault="00363103">
      <w:pPr>
        <w:spacing w:line="220" w:lineRule="exact"/>
        <w:rPr>
          <w:sz w:val="24"/>
          <w:szCs w:val="24"/>
        </w:rPr>
      </w:pPr>
    </w:p>
    <w:tbl>
      <w:tblPr>
        <w:tblW w:w="9647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1"/>
        <w:gridCol w:w="805"/>
        <w:gridCol w:w="763"/>
        <w:gridCol w:w="950"/>
        <w:gridCol w:w="1553"/>
        <w:gridCol w:w="3275"/>
      </w:tblGrid>
      <w:tr w:rsidR="00363103" w:rsidTr="00175B9C"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Modellieren</w:t>
            </w: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Pr="009451DC" w:rsidRDefault="00363103">
            <w:pPr>
              <w:spacing w:line="220" w:lineRule="exact"/>
              <w:jc w:val="left"/>
            </w:pPr>
            <w:r w:rsidRPr="009451DC">
              <w:t>- eine Sachsituation in ein mathematisches Modell übersetzen</w:t>
            </w:r>
          </w:p>
          <w:p w:rsidR="00363103" w:rsidRPr="009451DC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</w:pPr>
            <w:r w:rsidRPr="009451DC">
              <w:t>- mithilfe mathematischer Kenntnisse eine Lösung innerhalb des mathematischen Modells erarbeiten</w:t>
            </w: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/>
                <w:sz w:val="24"/>
                <w:szCs w:val="24"/>
              </w:rPr>
            </w:pPr>
            <w:r w:rsidRPr="009451DC">
              <w:t>- die erarbeitete Lösung wieder auf die Sache beziehen</w:t>
            </w: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Problemlösen</w:t>
            </w: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Pr="009451DC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 w:rsidRPr="009451DC">
              <w:rPr>
                <w:spacing w:val="-3"/>
              </w:rPr>
              <w:t>Problemlösestrategien  zur Lösung von Gleichungen anwenden z.B. durch probieren oder Umformen</w:t>
            </w: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 w:rsidP="00175B9C">
            <w:pPr>
              <w:tabs>
                <w:tab w:val="left" w:pos="227"/>
              </w:tabs>
              <w:spacing w:line="220" w:lineRule="exact"/>
              <w:jc w:val="left"/>
              <w:rPr>
                <w:spacing w:val="-3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3.Argumentieren</w:t>
            </w: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Pr="009451DC" w:rsidRDefault="00363103">
            <w:pPr>
              <w:spacing w:line="220" w:lineRule="exact"/>
              <w:jc w:val="left"/>
            </w:pPr>
            <w:r w:rsidRPr="009451DC">
              <w:t>- Vermutungen über einen Zusammenhang aufstellen</w:t>
            </w:r>
          </w:p>
          <w:p w:rsidR="00363103" w:rsidRPr="00175B9C" w:rsidRDefault="00363103">
            <w:pPr>
              <w:spacing w:line="220" w:lineRule="exact"/>
              <w:jc w:val="left"/>
            </w:pPr>
            <w:r w:rsidRPr="009451DC">
              <w:t>- zur Begründung mathematische Kenntnisse und Fertigkei</w:t>
            </w:r>
            <w:r w:rsidR="00175B9C">
              <w:t>ten nutzen</w:t>
            </w:r>
          </w:p>
        </w:tc>
      </w:tr>
      <w:tr w:rsidR="00363103" w:rsidTr="00175B9C">
        <w:trPr>
          <w:trHeight w:val="1888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363103" w:rsidRDefault="00363103">
            <w:pPr>
              <w:spacing w:line="220" w:lineRule="exact"/>
              <w:jc w:val="left"/>
              <w:rPr>
                <w:b/>
                <w:sz w:val="24"/>
                <w:szCs w:val="24"/>
              </w:rPr>
            </w:pPr>
          </w:p>
          <w:p w:rsidR="00363103" w:rsidRPr="00175B9C" w:rsidRDefault="00363103" w:rsidP="00175B9C">
            <w:pPr>
              <w:spacing w:line="220" w:lineRule="exact"/>
              <w:jc w:val="left"/>
              <w:rPr>
                <w:bCs/>
                <w:i/>
              </w:rPr>
            </w:pPr>
            <w:r w:rsidRPr="009451DC">
              <w:t>- in angemessenem Umfang die fachgebundene Sprache verwenden</w:t>
            </w:r>
          </w:p>
        </w:tc>
        <w:tc>
          <w:tcPr>
            <w:tcW w:w="4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spacing w:val="-4"/>
              </w:rPr>
            </w:pPr>
            <w:r>
              <w:rPr>
                <w:b/>
                <w:sz w:val="24"/>
                <w:szCs w:val="24"/>
              </w:rPr>
              <w:t>5. Werkzeuge benutzen</w:t>
            </w:r>
          </w:p>
          <w:p w:rsidR="00363103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363103" w:rsidRPr="00175B9C" w:rsidRDefault="00363103" w:rsidP="00175B9C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pacing w:val="-4"/>
              </w:rPr>
              <w:t>Tabellenkalkulationsprogramm Excel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63103" w:rsidTr="00175B9C"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  <w:bookmarkStart w:id="0" w:name="_GoBack" w:colFirst="3" w:colLast="3"/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Bezüge zu </w:t>
            </w:r>
          </w:p>
          <w:p w:rsidR="00363103" w:rsidRDefault="0036310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vergangenem Unterricht</w:t>
            </w:r>
          </w:p>
          <w:p w:rsidR="00363103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363103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</w:pPr>
            <w:r>
              <w:t>Formeln bei Umfang- und Flächenberechnung</w:t>
            </w:r>
          </w:p>
          <w:p w:rsidR="00363103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363103" w:rsidRDefault="00363103"/>
          <w:p w:rsidR="00363103" w:rsidRPr="00175B9C" w:rsidRDefault="00363103" w:rsidP="00175B9C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folgendem Unterricht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Medien</w:t>
            </w:r>
          </w:p>
          <w:p w:rsidR="00175B9C" w:rsidRPr="00175B9C" w:rsidRDefault="00175B9C" w:rsidP="00175B9C">
            <w:pPr>
              <w:jc w:val="center"/>
            </w:pPr>
            <w:r w:rsidRPr="00175B9C">
              <w:t>Lernstufen 8, S. 41-66</w:t>
            </w:r>
          </w:p>
          <w:p w:rsidR="00175B9C" w:rsidRPr="00175B9C" w:rsidRDefault="00175B9C" w:rsidP="00175B9C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  <w:p w:rsidR="00363103" w:rsidRDefault="00363103">
            <w:pPr>
              <w:jc w:val="center"/>
            </w:pPr>
            <w:r>
              <w:rPr>
                <w:b/>
                <w:sz w:val="24"/>
                <w:szCs w:val="24"/>
              </w:rPr>
              <w:t>Aufgabentypen</w:t>
            </w:r>
          </w:p>
          <w:p w:rsidR="00363103" w:rsidRDefault="00363103">
            <w:r>
              <w:t>Knobelaufga</w:t>
            </w:r>
            <w:r w:rsidR="00175B9C">
              <w:t>ben,</w:t>
            </w:r>
          </w:p>
          <w:p w:rsidR="00363103" w:rsidRDefault="00363103" w:rsidP="00175B9C">
            <w:pPr>
              <w:jc w:val="left"/>
              <w:rPr>
                <w:b/>
                <w:sz w:val="24"/>
                <w:szCs w:val="24"/>
              </w:rPr>
            </w:pPr>
            <w:r>
              <w:t>Sachaufgaben zur Erstellung von Gleichungen</w:t>
            </w: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Pr="00175B9C" w:rsidRDefault="00363103" w:rsidP="00175B9C">
            <w:pPr>
              <w:jc w:val="center"/>
              <w:rPr>
                <w:b/>
              </w:rPr>
            </w:pPr>
            <w:r w:rsidRPr="00175B9C">
              <w:rPr>
                <w:b/>
              </w:rPr>
              <w:t xml:space="preserve">Produkte/ </w:t>
            </w:r>
          </w:p>
          <w:p w:rsidR="00363103" w:rsidRPr="00175B9C" w:rsidRDefault="00363103" w:rsidP="00175B9C">
            <w:pPr>
              <w:jc w:val="center"/>
              <w:rPr>
                <w:b/>
              </w:rPr>
            </w:pPr>
            <w:r w:rsidRPr="00175B9C">
              <w:rPr>
                <w:b/>
              </w:rPr>
              <w:t>Überprüfungsformate</w:t>
            </w:r>
          </w:p>
          <w:p w:rsidR="00363103" w:rsidRDefault="00363103">
            <w:pPr>
              <w:rPr>
                <w:b/>
                <w:sz w:val="24"/>
                <w:szCs w:val="24"/>
              </w:rPr>
            </w:pPr>
          </w:p>
          <w:p w:rsidR="00363103" w:rsidRDefault="00363103">
            <w:r>
              <w:t>Test: Umsetzung von Sachaufgaben in eine Gleichung und umgekehrt</w:t>
            </w:r>
          </w:p>
          <w:p w:rsidR="00363103" w:rsidRDefault="00363103">
            <w:r>
              <w:t>Präsentation von Lernplakaten zur Lösung von Sachaufgaben mithilfe von Gleichungen</w:t>
            </w:r>
          </w:p>
          <w:p w:rsidR="00363103" w:rsidRDefault="003D33A7">
            <w:r>
              <w:t xml:space="preserve">- </w:t>
            </w:r>
            <w:r w:rsidR="00175B9C">
              <w:t>„</w:t>
            </w:r>
            <w:r>
              <w:t>Mathemeisterschaften</w:t>
            </w:r>
            <w:r w:rsidR="00175B9C">
              <w:t>“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363103" w:rsidRDefault="00363103" w:rsidP="00175B9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Lebensplanung/ Berufsorientierung</w:t>
            </w:r>
          </w:p>
          <w:p w:rsidR="00363103" w:rsidRPr="00175B9C" w:rsidRDefault="00363103" w:rsidP="00175B9C">
            <w:pPr>
              <w:jc w:val="left"/>
            </w:pPr>
            <w:r w:rsidRPr="00175B9C">
              <w:t>z.B. Preisvergleiche anstellen zu Lebenshaltungskosten (aus Wohnen, Nahrung, Kleidung...) oder zu Mietpreisen (aus Wohnungsgröße, Nebenkosten, Lage...)</w:t>
            </w:r>
          </w:p>
        </w:tc>
      </w:tr>
      <w:bookmarkEnd w:id="0"/>
    </w:tbl>
    <w:p w:rsidR="00363103" w:rsidRDefault="00363103">
      <w:pPr>
        <w:pageBreakBefore/>
      </w:pPr>
    </w:p>
    <w:sectPr w:rsidR="00363103">
      <w:headerReference w:type="even" r:id="rId8"/>
      <w:headerReference w:type="default" r:id="rId9"/>
      <w:footerReference w:type="default" r:id="rId10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46" w:rsidRDefault="00B65646">
      <w:r>
        <w:separator/>
      </w:r>
    </w:p>
  </w:endnote>
  <w:endnote w:type="continuationSeparator" w:id="0">
    <w:p w:rsidR="00B65646" w:rsidRDefault="00B6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103" w:rsidRDefault="00363103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46" w:rsidRDefault="00B65646">
      <w:r>
        <w:separator/>
      </w:r>
    </w:p>
  </w:footnote>
  <w:footnote w:type="continuationSeparator" w:id="0">
    <w:p w:rsidR="00B65646" w:rsidRDefault="00B65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103" w:rsidRDefault="00363103">
    <w:pPr>
      <w:pStyle w:val="Kopfzeile"/>
      <w:tabs>
        <w:tab w:val="right" w:pos="958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103" w:rsidRDefault="00363103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3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  <w:sz w:val="26"/>
      </w:rPr>
    </w:lvl>
  </w:abstractNum>
  <w:abstractNum w:abstractNumId="2" w15:restartNumberingAfterBreak="0">
    <w:nsid w:val="00000003"/>
    <w:multiLevelType w:val="singleLevel"/>
    <w:tmpl w:val="00000003"/>
    <w:name w:val="WW8Num71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Wingdings"/>
        <w:position w:val="0"/>
        <w:sz w:val="18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75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Arial Black"/>
        <w:sz w:val="22"/>
      </w:rPr>
    </w:lvl>
  </w:abstractNum>
  <w:abstractNum w:abstractNumId="4" w15:restartNumberingAfterBreak="0">
    <w:nsid w:val="00000005"/>
    <w:multiLevelType w:val="singleLevel"/>
    <w:tmpl w:val="00000005"/>
    <w:name w:val="WW8Num81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Wingdings"/>
        <w:b/>
        <w:i w:val="0"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1DC"/>
    <w:rsid w:val="00175B9C"/>
    <w:rsid w:val="00285BE1"/>
    <w:rsid w:val="00363103"/>
    <w:rsid w:val="003D33A7"/>
    <w:rsid w:val="00536920"/>
    <w:rsid w:val="009451DC"/>
    <w:rsid w:val="00B626A6"/>
    <w:rsid w:val="00B65646"/>
    <w:rsid w:val="00F1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87A5C55D-BA8C-4858-82CB-8F775C58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2015-11-11T16:34:00Z</dcterms:created>
  <dcterms:modified xsi:type="dcterms:W3CDTF">2015-11-26T17:58:00Z</dcterms:modified>
</cp:coreProperties>
</file>